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widowControl/>
        <w:pBdr>
          <w:top w:val="none" w:color="auto" w:sz="0" w:space="0"/>
          <w:left w:val="none" w:color="auto" w:sz="0" w:space="0"/>
          <w:bottom w:val="none" w:color="auto" w:sz="0" w:space="0"/>
          <w:right w:val="none" w:color="auto" w:sz="0" w:space="0"/>
        </w:pBdr>
        <w:shd w:val="clear" w:color="060000" w:fill="FFFFFF"/>
        <w:spacing w:line="384" w:lineRule="atLeast"/>
        <w:ind w:left="0" w:firstLine="0"/>
        <w:jc w:val="center"/>
        <w:rPr>
          <w:rStyle w:val="12"/>
          <w:rFonts w:hint="eastAsia" w:ascii="黑体" w:hAnsi="黑体" w:eastAsia="黑体" w:cs="黑体"/>
          <w:b/>
          <w:bCs/>
          <w:i w:val="0"/>
          <w:iCs w:val="0"/>
          <w:caps w:val="0"/>
          <w:color w:val="000000"/>
          <w:spacing w:val="0"/>
          <w:sz w:val="36"/>
          <w:szCs w:val="36"/>
          <w:shd w:val="clear" w:color="0C0000" w:fill="FFFFFF"/>
        </w:rPr>
      </w:pPr>
      <w:r>
        <w:rPr>
          <w:rFonts w:hint="eastAsia" w:ascii="黑体" w:hAnsi="黑体" w:eastAsia="黑体" w:cs="黑体"/>
          <w:b/>
          <w:bCs/>
          <w:i w:val="0"/>
          <w:iCs w:val="0"/>
          <w:caps w:val="0"/>
          <w:color w:val="000000"/>
          <w:spacing w:val="0"/>
          <w:sz w:val="36"/>
          <w:szCs w:val="36"/>
          <w:shd w:val="clear" w:color="0A0000" w:fill="FFFFFF"/>
        </w:rPr>
        <w:t>安徽合力股份有限公司</w:t>
      </w:r>
      <w:r>
        <w:rPr>
          <w:rFonts w:hint="eastAsia" w:ascii="黑体" w:hAnsi="黑体" w:eastAsia="黑体" w:cs="黑体"/>
          <w:b/>
          <w:bCs/>
          <w:i w:val="0"/>
          <w:iCs w:val="0"/>
          <w:caps w:val="0"/>
          <w:color w:val="000000"/>
          <w:spacing w:val="0"/>
          <w:sz w:val="36"/>
          <w:szCs w:val="36"/>
          <w:shd w:val="clear" w:color="0A0000" w:fill="FFFFFF"/>
          <w:lang w:eastAsia="zh-CN"/>
        </w:rPr>
        <w:t>【</w:t>
      </w:r>
      <w:r>
        <w:rPr>
          <w:rFonts w:hint="eastAsia" w:ascii="黑体" w:hAnsi="黑体" w:eastAsia="黑体" w:cs="黑体"/>
          <w:b/>
          <w:bCs/>
          <w:i w:val="0"/>
          <w:iCs w:val="0"/>
          <w:caps w:val="0"/>
          <w:color w:val="000000"/>
          <w:spacing w:val="0"/>
          <w:sz w:val="36"/>
          <w:szCs w:val="36"/>
          <w:shd w:val="clear" w:color="0A0000" w:fill="FFFFFF"/>
          <w:lang w:val="en-US" w:eastAsia="zh-CN"/>
        </w:rPr>
        <w:t>2024 泰国LogiMAT展】展位遴选</w:t>
      </w:r>
      <w:r>
        <w:rPr>
          <w:rFonts w:hint="eastAsia" w:ascii="黑体" w:hAnsi="黑体" w:eastAsia="黑体" w:cs="黑体"/>
          <w:b/>
          <w:bCs/>
          <w:color w:val="000000"/>
          <w:spacing w:val="0"/>
          <w:w w:val="100"/>
          <w:position w:val="0"/>
          <w:sz w:val="36"/>
          <w:szCs w:val="36"/>
          <w:lang w:val="en-US" w:eastAsia="zh-CN"/>
        </w:rPr>
        <w:t>唯一</w:t>
      </w:r>
      <w:r>
        <w:rPr>
          <w:rFonts w:hint="eastAsia" w:ascii="黑体" w:hAnsi="黑体" w:eastAsia="黑体" w:cs="黑体"/>
          <w:b/>
          <w:bCs/>
          <w:i w:val="0"/>
          <w:iCs w:val="0"/>
          <w:caps w:val="0"/>
          <w:color w:val="000000"/>
          <w:spacing w:val="0"/>
          <w:sz w:val="36"/>
          <w:szCs w:val="36"/>
          <w:shd w:val="clear" w:color="0A0000" w:fill="FFFFFF"/>
        </w:rPr>
        <w:t>来源采购公告</w:t>
      </w:r>
    </w:p>
    <w:p>
      <w:pPr>
        <w:jc w:val="left"/>
        <w:rPr>
          <w:rFonts w:hint="eastAsia" w:ascii="仿宋" w:hAnsi="仿宋" w:eastAsia="仿宋" w:cs="仿宋"/>
          <w:sz w:val="28"/>
          <w:szCs w:val="28"/>
          <w:lang w:val="en-US" w:eastAsia="zh-CN"/>
        </w:rPr>
      </w:pPr>
      <w:r>
        <w:rPr>
          <w:rStyle w:val="12"/>
          <w:rFonts w:hint="eastAsia" w:ascii="仿宋" w:hAnsi="仿宋" w:eastAsia="仿宋" w:cs="仿宋"/>
          <w:i w:val="0"/>
          <w:iCs w:val="0"/>
          <w:caps w:val="0"/>
          <w:color w:val="000000"/>
          <w:spacing w:val="0"/>
          <w:sz w:val="28"/>
          <w:szCs w:val="28"/>
          <w:shd w:val="clear" w:color="0A0000" w:fill="FFFFFF"/>
        </w:rPr>
        <w:t>　　</w:t>
      </w:r>
      <w:r>
        <w:rPr>
          <w:rFonts w:hint="eastAsia" w:ascii="仿宋" w:hAnsi="仿宋" w:eastAsia="仿宋" w:cs="仿宋"/>
          <w:sz w:val="28"/>
          <w:szCs w:val="28"/>
          <w:lang w:val="en-US" w:eastAsia="zh-CN"/>
        </w:rPr>
        <w:t>根据2024年度品牌建设方案及计划，公司将巩固并提升合力品牌声誉，组织开展各类展会及品牌活动，支持国内外一线市场拓展，聚焦合力品牌价值升级。拟组织参加2024年泰国LogiMAT展，以整机、零部件、智能物流等展示合力品牌实力，提升品牌影响力。现对2024年泰国LogiMAT展展位遴选项目进行唯一来源采购。</w:t>
      </w:r>
    </w:p>
    <w:p>
      <w:pPr>
        <w:pStyle w:val="9"/>
        <w:keepNext w:val="0"/>
        <w:keepLines w:val="0"/>
        <w:pageBreakBefore w:val="0"/>
        <w:widowControl/>
        <w:numPr>
          <w:ilvl w:val="0"/>
          <w:numId w:val="1"/>
        </w:numPr>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leftChars="0" w:firstLine="562" w:firstLineChars="20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项目信息</w:t>
      </w:r>
    </w:p>
    <w:p>
      <w:pPr>
        <w:pStyle w:val="9"/>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1.项目名称：2024 泰国LogiMAT展展位遴选采购；</w:t>
      </w:r>
    </w:p>
    <w:p>
      <w:pPr>
        <w:spacing w:line="360" w:lineRule="auto"/>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2.展会时间：2024年10月16日-10月18日（泰国曼谷）；</w:t>
      </w:r>
    </w:p>
    <w:p>
      <w:pPr>
        <w:pStyle w:val="9"/>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Chars="0" w:right="0" w:rightChars="0"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3.采购人名称：安徽合力股份有限公司；</w:t>
      </w:r>
    </w:p>
    <w:p>
      <w:pPr>
        <w:pStyle w:val="9"/>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Chars="0" w:right="0" w:rightChars="0"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4.采购人及联系方式：宣经理15855136386，黄经理 18755168416；</w:t>
      </w:r>
    </w:p>
    <w:p>
      <w:pPr>
        <w:pStyle w:val="9"/>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5.采购内容：泰国曼谷国际贸易展览中心，展位面积需求180㎡。</w:t>
      </w:r>
    </w:p>
    <w:p>
      <w:pPr>
        <w:pStyle w:val="9"/>
        <w:keepNext w:val="0"/>
        <w:keepLines w:val="0"/>
        <w:pageBreakBefore w:val="0"/>
        <w:widowControl/>
        <w:numPr>
          <w:ilvl w:val="0"/>
          <w:numId w:val="1"/>
        </w:numPr>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leftChars="0" w:firstLine="562" w:firstLineChars="20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采用唯一来源采购方式的原因及说明</w:t>
      </w:r>
    </w:p>
    <w:p>
      <w:pPr>
        <w:pStyle w:val="9"/>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根据安徽合力</w:t>
      </w:r>
      <w:r>
        <w:rPr>
          <w:rFonts w:hint="eastAsia" w:ascii="仿宋" w:hAnsi="仿宋" w:eastAsia="仿宋" w:cs="仿宋"/>
          <w:sz w:val="28"/>
          <w:szCs w:val="28"/>
        </w:rPr>
        <w:t>《非生产物资采购管理办法》</w:t>
      </w:r>
      <w:r>
        <w:rPr>
          <w:rFonts w:hint="eastAsia" w:ascii="仿宋" w:hAnsi="仿宋" w:eastAsia="仿宋" w:cs="仿宋"/>
          <w:sz w:val="28"/>
          <w:szCs w:val="28"/>
          <w:lang w:val="en-US" w:eastAsia="zh-CN"/>
        </w:rPr>
        <w:t>第五章“唯一来源采购”</w:t>
      </w:r>
      <w:r>
        <w:rPr>
          <w:rFonts w:hint="eastAsia" w:ascii="仿宋" w:hAnsi="仿宋" w:eastAsia="仿宋" w:cs="仿宋"/>
          <w:sz w:val="28"/>
          <w:szCs w:val="28"/>
        </w:rPr>
        <w:t>第十</w:t>
      </w:r>
      <w:r>
        <w:rPr>
          <w:rFonts w:hint="eastAsia" w:ascii="仿宋" w:hAnsi="仿宋" w:eastAsia="仿宋" w:cs="仿宋"/>
          <w:sz w:val="28"/>
          <w:szCs w:val="28"/>
          <w:lang w:val="en-US" w:eastAsia="zh-CN"/>
        </w:rPr>
        <w:t>六</w:t>
      </w:r>
      <w:r>
        <w:rPr>
          <w:rFonts w:hint="eastAsia" w:ascii="仿宋" w:hAnsi="仿宋" w:eastAsia="仿宋" w:cs="仿宋"/>
          <w:sz w:val="28"/>
          <w:szCs w:val="28"/>
        </w:rPr>
        <w:t>条范围规定“只能从境内唯一供应商处采购的”，本次采购适用于唯一来源采购。</w:t>
      </w:r>
    </w:p>
    <w:p>
      <w:pPr>
        <w:pStyle w:val="9"/>
        <w:keepNext w:val="0"/>
        <w:keepLines w:val="0"/>
        <w:pageBreakBefore w:val="0"/>
        <w:widowControl/>
        <w:numPr>
          <w:ilvl w:val="0"/>
          <w:numId w:val="1"/>
        </w:numPr>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leftChars="0" w:firstLine="562" w:firstLineChars="20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拟定供应商信息</w:t>
      </w:r>
    </w:p>
    <w:p>
      <w:pPr>
        <w:pStyle w:val="9"/>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南京斯图加特联合展览有限公司：</w:t>
      </w:r>
    </w:p>
    <w:p>
      <w:pPr>
        <w:pStyle w:val="9"/>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南京斯图加特联合展览有限公司不仅运营江苏省内最大的展馆和会议中心——南京国际博览中心，还是世界级的国际展览会和会议活动的组织机构。自2011 年成立以来，已经成功举办了一系列展览会及会议活动，涉及工业机械、智能制造、物流装备、职业教育及新能源等在内的众多行业。</w:t>
      </w:r>
    </w:p>
    <w:p>
      <w:pPr>
        <w:pStyle w:val="9"/>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南京斯图加特联合展览有限公司由德国斯图加特展览公司和南京河西会议展览有限责任公司合资成立。德国斯图加特展览公司是全球著名的展览公司之一，展览和会议业务覆盖全球，在不同国家和地区有数十个分支机构和代表处。</w:t>
      </w:r>
    </w:p>
    <w:p>
      <w:pPr>
        <w:pStyle w:val="9"/>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2018 年9 月，南京斯图加特联合展览有限公司正式成为全球展览业协会（UFI) 的会员单位。</w:t>
      </w:r>
    </w:p>
    <w:p>
      <w:pPr>
        <w:pStyle w:val="9"/>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地址：江苏省南京市建邺区白龙江西街5-3B馆</w:t>
      </w:r>
    </w:p>
    <w:p>
      <w:pPr>
        <w:pStyle w:val="9"/>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电话：（025） 8528 6200</w:t>
      </w:r>
    </w:p>
    <w:p>
      <w:pPr>
        <w:pStyle w:val="9"/>
        <w:keepNext w:val="0"/>
        <w:keepLines w:val="0"/>
        <w:pageBreakBefore w:val="0"/>
        <w:widowControl/>
        <w:numPr>
          <w:ilvl w:val="0"/>
          <w:numId w:val="1"/>
        </w:numPr>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leftChars="0" w:firstLine="562" w:firstLineChars="20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公告时间</w:t>
      </w:r>
    </w:p>
    <w:p>
      <w:pPr>
        <w:pStyle w:val="9"/>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64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2024年6月28日至2024年7月1日</w:t>
      </w:r>
    </w:p>
    <w:p>
      <w:pPr>
        <w:pStyle w:val="9"/>
        <w:keepNext w:val="0"/>
        <w:keepLines w:val="0"/>
        <w:pageBreakBefore w:val="0"/>
        <w:widowControl/>
        <w:numPr>
          <w:ilvl w:val="0"/>
          <w:numId w:val="1"/>
        </w:numPr>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leftChars="0" w:firstLine="562" w:firstLineChars="20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其他补充事宜</w:t>
      </w:r>
    </w:p>
    <w:p>
      <w:pPr>
        <w:pStyle w:val="9"/>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0"/>
        <w:jc w:val="left"/>
        <w:textAlignment w:val="auto"/>
        <w:rPr>
          <w:rFonts w:hint="eastAsia"/>
          <w:lang w:val="en-US" w:eastAsia="zh-CN"/>
        </w:rPr>
      </w:pPr>
      <w:r>
        <w:rPr>
          <w:rFonts w:hint="eastAsia" w:ascii="仿宋" w:hAnsi="仿宋" w:eastAsia="仿宋" w:cs="仿宋"/>
          <w:sz w:val="28"/>
          <w:szCs w:val="28"/>
          <w:lang w:val="en-US" w:eastAsia="zh-CN"/>
        </w:rPr>
        <w:t>　　无。</w:t>
      </w:r>
    </w:p>
    <w:p>
      <w:pPr>
        <w:spacing w:line="360" w:lineRule="auto"/>
        <w:jc w:val="right"/>
        <w:rPr>
          <w:rFonts w:hint="eastAsia" w:ascii="仿宋" w:hAnsi="仿宋" w:eastAsia="仿宋" w:cs="仿宋"/>
          <w:sz w:val="28"/>
          <w:szCs w:val="28"/>
          <w:lang w:val="en-US" w:eastAsia="zh-CN"/>
        </w:rPr>
      </w:pPr>
      <w:bookmarkStart w:id="0" w:name="_GoBack"/>
      <w:bookmarkEnd w:id="0"/>
      <w:r>
        <w:rPr>
          <w:rFonts w:hint="eastAsia" w:ascii="仿宋" w:hAnsi="仿宋" w:eastAsia="仿宋" w:cs="仿宋"/>
          <w:sz w:val="28"/>
          <w:szCs w:val="28"/>
          <w:lang w:val="en-US" w:eastAsia="zh-CN"/>
        </w:rPr>
        <w:t>安徽合力股份有限公司</w:t>
      </w:r>
    </w:p>
    <w:p>
      <w:pPr>
        <w:spacing w:line="360" w:lineRule="auto"/>
        <w:jc w:val="right"/>
        <w:rPr>
          <w:rFonts w:hint="eastAsia" w:ascii="仿宋" w:hAnsi="仿宋" w:eastAsia="仿宋" w:cs="仿宋"/>
          <w:sz w:val="28"/>
          <w:szCs w:val="28"/>
          <w:lang w:val="en-US" w:eastAsia="zh-CN"/>
        </w:rPr>
      </w:pPr>
      <w:r>
        <w:rPr>
          <w:rFonts w:hint="eastAsia" w:ascii="仿宋" w:hAnsi="仿宋" w:eastAsia="仿宋" w:cs="仿宋"/>
          <w:b w:val="0"/>
          <w:bCs/>
          <w:sz w:val="28"/>
          <w:szCs w:val="28"/>
          <w:lang w:eastAsia="zh-CN"/>
        </w:rPr>
        <w:t>20</w:t>
      </w:r>
      <w:r>
        <w:rPr>
          <w:rFonts w:hint="eastAsia" w:ascii="仿宋" w:hAnsi="仿宋" w:eastAsia="仿宋" w:cs="仿宋"/>
          <w:b w:val="0"/>
          <w:bCs/>
          <w:sz w:val="28"/>
          <w:szCs w:val="28"/>
          <w:lang w:val="en-US" w:eastAsia="zh-CN"/>
        </w:rPr>
        <w:t>24</w:t>
      </w:r>
      <w:r>
        <w:rPr>
          <w:rFonts w:hint="eastAsia" w:ascii="仿宋" w:hAnsi="仿宋" w:eastAsia="仿宋" w:cs="仿宋"/>
          <w:b w:val="0"/>
          <w:bCs/>
          <w:sz w:val="28"/>
          <w:szCs w:val="28"/>
          <w:lang w:eastAsia="zh-CN"/>
        </w:rPr>
        <w:t>年</w:t>
      </w:r>
      <w:r>
        <w:rPr>
          <w:rFonts w:hint="eastAsia" w:ascii="仿宋" w:hAnsi="仿宋" w:eastAsia="仿宋" w:cs="仿宋"/>
          <w:b w:val="0"/>
          <w:bCs/>
          <w:sz w:val="28"/>
          <w:szCs w:val="28"/>
          <w:lang w:val="en-US" w:eastAsia="zh-CN"/>
        </w:rPr>
        <w:t>6</w:t>
      </w:r>
      <w:r>
        <w:rPr>
          <w:rFonts w:hint="eastAsia" w:ascii="仿宋" w:hAnsi="仿宋" w:eastAsia="仿宋" w:cs="仿宋"/>
          <w:b w:val="0"/>
          <w:bCs/>
          <w:sz w:val="28"/>
          <w:szCs w:val="28"/>
          <w:lang w:eastAsia="zh-CN"/>
        </w:rPr>
        <w:t>月</w:t>
      </w:r>
      <w:r>
        <w:rPr>
          <w:rFonts w:hint="eastAsia" w:ascii="仿宋" w:hAnsi="仿宋" w:eastAsia="仿宋" w:cs="仿宋"/>
          <w:b w:val="0"/>
          <w:bCs/>
          <w:sz w:val="28"/>
          <w:szCs w:val="28"/>
          <w:lang w:val="en-US" w:eastAsia="zh-CN"/>
        </w:rPr>
        <w:t>28</w:t>
      </w:r>
      <w:r>
        <w:rPr>
          <w:rFonts w:hint="eastAsia" w:ascii="仿宋" w:hAnsi="仿宋" w:eastAsia="仿宋" w:cs="仿宋"/>
          <w:b w:val="0"/>
          <w:bCs/>
          <w:sz w:val="28"/>
          <w:szCs w:val="28"/>
          <w:lang w:eastAsia="zh-CN"/>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B2DE60"/>
    <w:multiLevelType w:val="singleLevel"/>
    <w:tmpl w:val="A3B2DE60"/>
    <w:lvl w:ilvl="0" w:tentative="0">
      <w:start w:val="1"/>
      <w:numFmt w:val="chineseCounting"/>
      <w:suff w:val="nothing"/>
      <w:lvlText w:val="%1、"/>
      <w:lvlJc w:val="left"/>
      <w:pPr>
        <w:ind w:left="0" w:firstLine="420"/>
      </w:pPr>
      <w:rPr>
        <w:rFonts w:hint="eastAsia"/>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